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DC-0026 · Tort</w:t>
      </w:r>
    </w:p>
    <w:p>
      <w:pPr>
        <w:pStyle w:val="Title"/>
      </w:pPr>
      <w:r>
        <w:t xml:space="preserve">Res Ipsa Loquitur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accident itself is evidence of negligence: the conditions for the inference and its effect on the burden.</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of Delhi v. Subhagwanti, AIR 1966 SC 1750</w:t>
      </w:r>
    </w:p>
    <w:p>
      <w:pPr>
        <w:pStyle w:val="Bullet"/>
      </w:pPr>
      <w:r>
        <w:t xml:space="preserve">•  Syad Akbar v. State of Karnataka, (1980) 1 SCC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https://firstprecedent.org/doctrines/res-ipsa-loquitur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