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DC-0076 · Evidence</w:t>
      </w:r>
    </w:p>
    <w:p>
      <w:pPr>
        <w:pStyle w:val="Title"/>
      </w:pPr>
      <w:r>
        <w:t xml:space="preserve">Res Gestae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Statements and acts so bound up with the fact in issue that they are admitted despite the rule against hearsay.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6 (now Bharatiya Sakshya Adhiniyam, 2023, § 4)</w:t>
      </w:r>
    </w:p>
    <w:p>
      <w:pPr>
        <w:pStyle w:val="Bullet"/>
      </w:pPr>
      <w:r>
        <w:t xml:space="preserve">•  Gentela Vijayavardhan Rao v. State of A.P., (1996) 6 SCC 241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https://firstprecedent.org/doctrines/res-gestae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