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DC-0065 · Private International</w:t>
      </w:r>
    </w:p>
    <w:p>
      <w:pPr>
        <w:pStyle w:val="Title"/>
      </w:pPr>
      <w:r>
        <w:t xml:space="preserve">Renvoi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a reference to foreign law includes its conflict rules, and how rarely Indian courts have had to decide.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5</w:t>
      </w:r>
    </w:p>
    <w:p>
      <w:pPr>
        <w:pStyle w:val="Bullet"/>
      </w:pPr>
      <w:r>
        <w:t xml:space="preserve">•  Technip S.A. v. SMS Holding (P) Ltd., (2005) 5 SCC 465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https://firstprecedent.org/doctrines/renvoi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