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DC-0188 · International (Public)</w:t>
      </w:r>
    </w:p>
    <w:p>
      <w:pPr>
        <w:pStyle w:val="Title"/>
      </w:pPr>
      <w:r>
        <w:t xml:space="preserve">Rebus Sic Stantibus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Ending a treaty because of a fundamental change in the circumstances that formed the basis of consent.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 62, May 23, 1969, 1155 U.N.T.S. 331</w:t>
      </w:r>
    </w:p>
    <w:p>
      <w:pPr>
        <w:pStyle w:val="Bullet"/>
      </w:pPr>
      <w:r>
        <w:t xml:space="preserve">•  Gabčíkovo-Nagymaros Project (Hung./Slovk.), Judgment, 1997 I.C.J. 7 (Sept. 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https://firstprecedent.org/doctrines/rebus-sic-stantibus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