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DC-0051 · Tax</w:t>
      </w:r>
    </w:p>
    <w:p>
      <w:pPr>
        <w:pStyle w:val="Title"/>
      </w:pPr>
      <w:r>
        <w:t xml:space="preserve">Real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Income tax is on income that has actually accrued, not on hypothetical income, even under the mercantile system of accounting.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Shoorji Vallabhdas &amp; Co., AIR 1962 SC 1389</w:t>
      </w:r>
    </w:p>
    <w:p>
      <w:pPr>
        <w:pStyle w:val="Bullet"/>
      </w:pPr>
      <w:r>
        <w:t xml:space="preserve">•  Godhra Electricity Co. Ltd. v. CIT, (1997) 4 SCC 530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https://firstprecedent.org/doctrines/real-income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