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DC-0034 · Environment</w:t>
      </w:r>
    </w:p>
    <w:p>
      <w:pPr>
        <w:pStyle w:val="Title"/>
      </w:pPr>
      <w:r>
        <w:t xml:space="preserve">Public Trust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State holds certain natural resources as trustee for the public and cannot convert them to private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 Mehta v. Kamal Nath, (1997) 1 SCC 388</w:t>
      </w:r>
    </w:p>
    <w:p>
      <w:pPr>
        <w:pStyle w:val="Bullet"/>
      </w:pPr>
      <w:r>
        <w:t xml:space="preserve">•  Fomento Resorts &amp; Hotels Ltd. v. Minguel Martins, (2009) 3 SCC 571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https://firstprecedent.org/doctrines/public-trust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