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DC-0131 · Contract</w:t>
      </w:r>
    </w:p>
    <w:p>
      <w:pPr>
        <w:pStyle w:val="Title"/>
      </w:pPr>
      <w:r>
        <w:t xml:space="preserve">Public Policy in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power of courts to refuse to enforce an agreement as opposed to public policy, and the caution against inventing new heads.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23</w:t>
      </w:r>
    </w:p>
    <w:p>
      <w:pPr>
        <w:pStyle w:val="Bullet"/>
      </w:pPr>
      <w:r>
        <w:t xml:space="preserve">•  Gherulal Parakh v. Mahadeodas Maiya, AIR 1959 SC 781</w:t>
      </w:r>
    </w:p>
    <w:p>
      <w:pPr>
        <w:pStyle w:val="Bullet"/>
      </w:pPr>
      <w:r>
        <w:t xml:space="preserve">•  Central Inland Water Transport Corpn. Ltd. v. Brojo Nath Ganguly, (1986) 3 SCC 156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https://firstprecedent.org/doctrines/public-policy-in-contract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