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DC-0202 · Tax</w:t>
      </w:r>
    </w:p>
    <w:p>
      <w:pPr>
        <w:pStyle w:val="Title"/>
      </w:pPr>
      <w:r>
        <w:t xml:space="preserve">Protective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Assessing the same income in the hands of a second person as a precaution while it is undecided to whom it belongs.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Lalji Haridas v. ITO, (1961) 43 ITR 387 (SC)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https://firstprecedent.org/doctrines/protective-assessment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