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DC-0178 · Labour</w:t>
      </w:r>
    </w:p>
    <w:p>
      <w:pPr>
        <w:pStyle w:val="Title"/>
      </w:pPr>
      <w:r>
        <w:t xml:space="preserve">Protection during Pendency of Proceedings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bar on altering service conditions or dismissing a workman while a dispute is pending without the tribunal’s approval.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33</w:t>
      </w:r>
    </w:p>
    <w:p>
      <w:pPr>
        <w:pStyle w:val="Bullet"/>
      </w:pPr>
      <w:r>
        <w:t xml:space="preserve">•  Jaipur Zila Sahakari Bhoomi Vikas Bank Ltd. v. Ram Gopal Sharma, (2002) 2 SCC 244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https://firstprecedent.org/doctrines/protection-during-pendency-of-proceedings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