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DC-0015 · Administrative</w:t>
      </w:r>
    </w:p>
    <w:p>
      <w:pPr>
        <w:pStyle w:val="Title"/>
      </w:pPr>
      <w:r>
        <w:t xml:space="preserve">Promissory Estoppel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Holding government to its promises where a citizen has acted on them, and the limits: statute, public interest and executive necessity.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Anglo Afghan Agencies, AIR 1968 SC 718</w:t>
      </w:r>
    </w:p>
    <w:p>
      <w:pPr>
        <w:pStyle w:val="Bullet"/>
      </w:pPr>
      <w:r>
        <w:t xml:space="preserve">•  Motilal Padampat Sugar Mills Co. Ltd. v. State of U.P., (1979) 2 SCC 409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https://firstprecedent.org/doctrines/promissory-estoppel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