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DC-0022 · Contract</w:t>
      </w:r>
    </w:p>
    <w:p>
      <w:pPr>
        <w:pStyle w:val="Title"/>
      </w:pPr>
      <w:r>
        <w:t xml:space="preserve">Privity of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stranger to a contract cannot sue on it, though a stranger to consideration can: the Indian rule and its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Chacko v. State Bank of Travancore, (1969) 2 SCC 343</w:t>
      </w:r>
    </w:p>
    <w:p>
      <w:pPr>
        <w:pStyle w:val="Bullet"/>
      </w:pPr>
      <w:r>
        <w:t xml:space="preserve">•  Dunlop Pneumatic Tyre Co. Ltd. v. Selfridge &amp; Co. Ltd., [1915] AC 847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https://firstprecedent.org/doctrines/privity-of-contract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