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DC-0060 · IP</w:t>
      </w:r>
    </w:p>
    <w:p>
      <w:pPr>
        <w:pStyle w:val="Title"/>
      </w:pPr>
      <w:r>
        <w:t xml:space="preserve">Prior 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 Indian trade mark law the first user prevails over the first to register.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34</w:t>
      </w:r>
    </w:p>
    <w:p>
      <w:pPr>
        <w:pStyle w:val="Bullet"/>
      </w:pPr>
      <w:r>
        <w:t xml:space="preserve">•  S. Syed Mohideen v. P. Sulochana Bai, (2016) 2 SCC 683</w:t>
      </w:r>
    </w:p>
    <w:p>
      <w:pPr>
        <w:pStyle w:val="Bullet"/>
      </w:pPr>
      <w:r>
        <w:t xml:space="preserve">•  Neon Laboratories Ltd. v. Medical Technologies Ltd., (2016) 2 SCC 672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https://firstprecedent.org/doctrines/prior-use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