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DC-0062 · Media</w:t>
      </w:r>
    </w:p>
    <w:p>
      <w:pPr>
        <w:pStyle w:val="Title"/>
      </w:pPr>
      <w:r>
        <w:t xml:space="preserve">Prior Restraint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Restraining publication before it happens: the presumption against it, pre-censorship of films, and injunctions in defamation.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Brij Bhushan v. State of Delhi, AIR 1950 SC 129</w:t>
      </w:r>
    </w:p>
    <w:p>
      <w:pPr>
        <w:pStyle w:val="Bullet"/>
      </w:pPr>
      <w:r>
        <w:t xml:space="preserve">•  K.A. Abbas v. Union of India, (1970) 2 SCC 780</w:t>
      </w:r>
    </w:p>
    <w:p>
      <w:pPr>
        <w:pStyle w:val="Bullet"/>
      </w:pPr>
      <w:r>
        <w:t xml:space="preserve">•  R. Rajagopal v. State of T.N., (1994) 6 SCC 632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https://firstprecedent.org/doctrines/prior-restraint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