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DC-0063 · Media</w:t>
      </w:r>
    </w:p>
    <w:p>
      <w:pPr>
        <w:pStyle w:val="Title"/>
      </w:pPr>
      <w:r>
        <w:t xml:space="preserve">Postponement of Reporting</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Court orders deferring publication of pending proceedings to protect a fair trial: the test and the duration.</w:t>
      </w:r>
    </w:p>
    <w:p>
      <w:pPr>
        <w:pStyle w:val="Guidance"/>
      </w:pPr>
      <w:r>
        <w:t xml:space="preserve">Authorities to start from. These are places to begin, listed by the editors. Read each one in the original and check the citation before you rely on it.</w:t>
      </w:r>
    </w:p>
    <w:p>
      <w:pPr>
        <w:pStyle w:val="Bullet"/>
      </w:pPr>
      <w:r>
        <w:t xml:space="preserve">•  Sahara India Real Estate Corpn. Ltd. v. SEBI, (2012) 10 SCC 603</w:t>
      </w:r>
    </w:p>
    <w:p>
      <w:pPr>
        <w:pStyle w:val="Bullet"/>
      </w:pPr>
      <w:r>
        <w:t xml:space="preserve">•  Naresh Shridhar Mirajkar v. State of Maharashtra, AIR 1967 SC 1</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https://firstprecedent.org/doctrines/postponement-orders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