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DC-0085 · Constitutional</w:t>
      </w:r>
    </w:p>
    <w:p>
      <w:pPr>
        <w:pStyle w:val="Title"/>
      </w:pPr>
      <w:r>
        <w:t xml:space="preserve">Political Question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some questions are unfit for courts because the Constitution leaves them to another branch, and what remains of the idea.</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Union of India, (1977) 3 SCC 592</w:t>
      </w:r>
    </w:p>
    <w:p>
      <w:pPr>
        <w:pStyle w:val="Bullet"/>
      </w:pPr>
      <w:r>
        <w:t xml:space="preserve">•  S.R. Bommai v. Union of India, (1994) 3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https://firstprecedent.org/doctrines/political-question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