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DC-0220 · International (Public)</w:t>
      </w:r>
    </w:p>
    <w:p>
      <w:pPr>
        <w:pStyle w:val="Title"/>
      </w:pPr>
      <w:r>
        <w:t xml:space="preserve">Political Offence Exception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refusal to extradite a person for an offence of a political character, and the offences statute excludes from that description.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Extradition Act, 1962, § 31(1)(a)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https://firstprecedent.org/doctrines/political-offence-exception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