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DC-0005 · Constitutional</w:t>
      </w:r>
    </w:p>
    <w:p>
      <w:pPr>
        <w:pStyle w:val="Title"/>
      </w:pPr>
      <w:r>
        <w:t xml:space="preserve">Pith and Substance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Legislative competence is tested by the true character of a law; incidental encroachment on the other list does not invalidate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Prafulla Kumar Mukherjee v. Bank of Commerce Ltd., AIR 1947 PC 60</w:t>
      </w:r>
    </w:p>
    <w:p>
      <w:pPr>
        <w:pStyle w:val="Bullet"/>
      </w:pPr>
      <w:r>
        <w:t xml:space="preserve">•  State of Bombay v. F.N. Balsara, AIR 1951 SC 318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https://firstprecedent.org/doctrines/pith-and-substance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