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DC-0019 · Property</w:t>
      </w:r>
    </w:p>
    <w:p>
      <w:pPr>
        <w:pStyle w:val="Title"/>
      </w:pPr>
      <w:r>
        <w:t xml:space="preserve">Part Performance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shield for a transferee in possession under an unregistered contract: section 53A, its conditions, and its narrowing after 2001.</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53A</w:t>
      </w:r>
    </w:p>
    <w:p>
      <w:pPr>
        <w:pStyle w:val="Bullet"/>
      </w:pPr>
      <w:r>
        <w:t xml:space="preserve">•  Shrimant Shamrao Suryavanshi v. Pralhad Bhairoba Suryavanshi, (2002) 3 SCC 676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https://firstprecedent.org/doctrines/part-performance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