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DC-0105 · Administrative</w:t>
      </w:r>
    </w:p>
    <w:p>
      <w:pPr>
        <w:pStyle w:val="Title"/>
      </w:pPr>
      <w:r>
        <w:t xml:space="preserve">Parallel Criminal and Departmental Proceedings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Whether a disciplinary inquiry may go on beside a criminal trial on the same facts, and what an acquittal does to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Capt. M. Paul Anthony v. Bharat Gold Mines Ltd., (1999) 3 SCC 679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https://firstprecedent.org/doctrines/parallel-criminal-and-departmental-proceedings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