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DC-0104 · Administrative</w:t>
      </w:r>
    </w:p>
    <w:p>
      <w:pPr>
        <w:pStyle w:val="Title"/>
      </w:pPr>
      <w:r>
        <w:t xml:space="preserve">An Order Stands on Its Own Reasons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validity of a statutory order is judged by the reasons stated in it, not by reasons supplied later in an affidavit.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Mohinder Singh Gill v. Chief Election Commissioner, (1978) 1 SCC 405</w:t>
      </w:r>
    </w:p>
    <w:p>
      <w:pPr>
        <w:pStyle w:val="Bullet"/>
      </w:pPr>
      <w:r>
        <w:t xml:space="preserve">•  Commissioner of Police v. Gordhandas Bhanji, AIR 1952 SC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https://firstprecedent.org/doctrines/orders-stand-on-their-own-reasons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