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DC-0045 · Labour</w:t>
      </w:r>
    </w:p>
    <w:p>
      <w:pPr>
        <w:pStyle w:val="Title"/>
      </w:pPr>
      <w:r>
        <w:t xml:space="preserve">Notional Extension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Extending "in the course of employment" beyond the workplace in time and space for compensation claims.</w:t>
      </w:r>
    </w:p>
    <w:p>
      <w:pPr>
        <w:pStyle w:val="Guidance"/>
      </w:pPr>
      <w:r>
        <w:t xml:space="preserve">Authorities to start from. These are places to begin, listed by the editors. Read each one in the original and check the citation before you rely on it.</w:t>
      </w:r>
    </w:p>
    <w:p>
      <w:pPr>
        <w:pStyle w:val="Bullet"/>
      </w:pPr>
      <w:r>
        <w:t xml:space="preserve">•  Saurashtra Salt Mfg. Co. v. Bai Valu Raja, AIR 1958 SC 881</w:t>
      </w:r>
    </w:p>
    <w:p>
      <w:pPr>
        <w:pStyle w:val="Bullet"/>
      </w:pPr>
      <w:r>
        <w:t xml:space="preserve">•  General Manager, B.E.S.T. Undertaking v. Agnes, AIR 1964 SC 193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https://firstprecedent.org/doctrines/notional-extension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