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DC-0141 · Contract</w:t>
      </w:r>
    </w:p>
    <w:p>
      <w:pPr>
        <w:pStyle w:val="Title"/>
      </w:pPr>
      <w:r>
        <w:t xml:space="preserve">Non Est Factum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plea that a document is void because the signer was deceived about its very character, not merely its contents.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Ningawwa v. Byrappa Shiddappa Hireknrabar, AIR 1968 SC 956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https://firstprecedent.org/doctrines/non-est-factum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