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DC-0172 · Securities</w:t>
      </w:r>
    </w:p>
    <w:p>
      <w:pPr>
        <w:pStyle w:val="Title"/>
      </w:pPr>
      <w:r>
        <w:t xml:space="preserve">No Mens Rea for Civil Penalties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penalty for breach of a regulatory duty follows from the breach itself, without proof of a guilty mind.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Shriram Mutual Fund, (2006) 5 SCC 361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https://firstprecedent.org/doctrines/no-mens-rea-for-civil-penalties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