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DC-0096 · Administrative</w:t>
      </w:r>
    </w:p>
    <w:p>
      <w:pPr>
        <w:pStyle w:val="Title"/>
      </w:pPr>
      <w:r>
        <w:t xml:space="preserve">Necessity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exception that lets a disqualified adjudicator decide when no one else is competent to, and the narrower form Indian courts prefer.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Election Commission of India v. Dr. Subramaniam Swamy, (1996) 4 SCC 104</w:t>
      </w:r>
    </w:p>
    <w:p>
      <w:pPr>
        <w:pStyle w:val="Bullet"/>
      </w:pPr>
      <w:r>
        <w:t xml:space="preserve">•  Ashok Kumar Yadav v. State of Haryana, (1985) 4 SCC 417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https://firstprecedent.org/doctrines/necessity-in-administrative-law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