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DC-0129 · Civil Procedure</w:t>
      </w:r>
    </w:p>
    <w:p>
      <w:pPr>
        <w:pStyle w:val="Title"/>
      </w:pPr>
      <w:r>
        <w:t xml:space="preserve">Moulding of Relief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court’s power to take note of events after the suit was filed and shape the relief to fit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Pasupuleti Venkateswarlu v. Motor &amp; General Traders, (1975) 1 SCC 770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https://firstprecedent.org/doctrines/moulding-of-relief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