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DC-0038 · Civil Procedure</w:t>
      </w:r>
    </w:p>
    <w:p>
      <w:pPr>
        <w:pStyle w:val="Title"/>
      </w:pPr>
      <w:r>
        <w:t xml:space="preserve">Merger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When the order of a lower court merges in that of the appellate court, and what happens when a special leave petition is dismissed.</w:t>
      </w:r>
    </w:p>
    <w:p>
      <w:pPr>
        <w:pStyle w:val="Guidance"/>
      </w:pPr>
      <w:r>
        <w:t xml:space="preserve">Authorities to start from. These are places to begin, listed by the editors. Read each one in the original and check the citation before you rely on it.</w:t>
      </w:r>
    </w:p>
    <w:p>
      <w:pPr>
        <w:pStyle w:val="Bullet"/>
      </w:pPr>
      <w:r>
        <w:t xml:space="preserve">•  Kunhayammed v. State of Kerala, (2000) 6 SCC 359</w:t>
      </w:r>
    </w:p>
    <w:p>
      <w:pPr>
        <w:pStyle w:val="Bullet"/>
      </w:pPr>
      <w:r>
        <w:t xml:space="preserve">•  Khoday Distilleries Ltd. v. Sri Mahadeshwara Sahakara Sakkare Karkhane Ltd., (2019) 4 SCC 376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https://firstprecedent.org/doctrines/merger-of-orders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