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DC-0177 · Tax</w:t>
      </w:r>
    </w:p>
    <w:p>
      <w:pPr>
        <w:pStyle w:val="Title"/>
      </w:pPr>
      <w:r>
        <w:t xml:space="preserve">Mens Rea in Tax Penalties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penalty under a taxing statute needs a deliberate default, and the difference between civil and criminal consequences.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Hindustan Steel Ltd. v. State of Orissa, (1969) 2 SCC 627</w:t>
      </w:r>
    </w:p>
    <w:p>
      <w:pPr>
        <w:pStyle w:val="Bullet"/>
      </w:pPr>
      <w:r>
        <w:t xml:space="preserve">•  Union of India v. Dharamendra Textile Processors, (2008) 13 SCC 369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https://firstprecedent.org/doctrines/mens-rea-in-tax-penalties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