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DC-0221 · International (Public)</w:t>
      </w:r>
    </w:p>
    <w:p>
      <w:pPr>
        <w:pStyle w:val="Title"/>
      </w:pPr>
      <w:r>
        <w:t xml:space="preserve">Material Breach of a Treaty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right of a party to end or suspend a treaty when another party has broken a provision essential to its purpose.</w:t>
      </w:r>
    </w:p>
    <w:p>
      <w:pPr>
        <w:pStyle w:val="Guidance"/>
      </w:pPr>
      <w:r>
        <w:t xml:space="preserve">Authorities to start from. These are places to begin, listed by the editors. Read each one in the original and check the citation before you rely on it.</w:t>
      </w:r>
    </w:p>
    <w:p>
      <w:pPr>
        <w:pStyle w:val="Bullet"/>
      </w:pPr>
      <w:r>
        <w:t xml:space="preserve">•  Vienna Convention on the Law of Treaties, art. 60, May 23, 1969, 1155 U.N.T.S. 331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https://firstprecedent.org/doctrines/material-breach-of-a-treaty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