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DC-0160 · Family</w:t>
      </w:r>
    </w:p>
    <w:p>
      <w:pPr>
        <w:pStyle w:val="Title"/>
      </w:pPr>
      <w:r>
        <w:t xml:space="preserve">Marz-ul-Maut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Muslim law rule that a gift made in a last illness operates only to the extent a will could.</w:t>
      </w:r>
    </w:p>
    <w:p>
      <w:pPr>
        <w:pStyle w:val="Guidance"/>
      </w:pPr>
      <w:r>
        <w:t xml:space="preserve">Authorities to start from. These are places to begin, listed by the editors. Read each one in the original and check the citation before you rely on it.</w:t>
      </w:r>
    </w:p>
    <w:p>
      <w:pPr>
        <w:pStyle w:val="Bullet"/>
      </w:pPr>
      <w:r>
        <w:t xml:space="preserve">•  D.F. Mulla, Principles of Mahomedan Law</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https://firstprecedent.org/doctrines/marz-ul-maut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