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DC-0050 · Labour</w:t>
      </w:r>
    </w:p>
    <w:p>
      <w:pPr>
        <w:pStyle w:val="Title"/>
      </w:pPr>
      <w:r>
        <w:t xml:space="preserve">Last Come, First Go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order of retrenchment within a category, and when an employer may depart from it for recorded reasons.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25G</w:t>
      </w:r>
    </w:p>
    <w:p>
      <w:pPr>
        <w:pStyle w:val="Bullet"/>
      </w:pPr>
      <w:r>
        <w:t xml:space="preserve">•  Harjinder Singh v. Punjab State Warehousing Corpn., (2010) 3 SCC 192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https://firstprecedent.org/doctrines/last-come-first-go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