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DC-0092 · Criminal</w:t>
      </w:r>
    </w:p>
    <w:p>
      <w:pPr>
        <w:pStyle w:val="Title"/>
      </w:pPr>
      <w:r>
        <w:t xml:space="preserve">Issue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finding of fact in favour of an accused at one trial binds the prosecution at a later trial for a different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Pritam Singh v. State of Punjab, AIR 1956 SC 415</w:t>
      </w:r>
    </w:p>
    <w:p>
      <w:pPr>
        <w:pStyle w:val="Bullet"/>
      </w:pPr>
      <w:r>
        <w:t xml:space="preserve">•  Manipur Administration v. Thokchom Bira Singh, AIR 1965 SC 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https://firstprecedent.org/doctrines/issue-estoppel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