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DC-0217 · Property</w:t>
      </w:r>
    </w:p>
    <w:p>
      <w:pPr>
        <w:pStyle w:val="Title"/>
      </w:pPr>
      <w:r>
        <w:t xml:space="preserve">Irrevocable Licence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two cases in which a licence cannot be revoked: when coupled with a transfer of property, and when the licensee has built on the faith of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Easements Act, 1882, § 60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https://firstprecedent.org/doctrines/irrevocable-licence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