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DC-0046 · Family</w:t>
      </w:r>
    </w:p>
    <w:p>
      <w:pPr>
        <w:pStyle w:val="Title"/>
      </w:pPr>
      <w:r>
        <w:t xml:space="preserve">Irretrievable Breakdown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Not a statutory ground of divorce, but one the Supreme Court applies under Article 142: when it does, and the factors it weighs.</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Shilpa Sailesh v. Varun Sreenivasan, (2023) 14 SCC 231</w:t>
      </w:r>
    </w:p>
    <w:p>
      <w:pPr>
        <w:pStyle w:val="Bullet"/>
      </w:pPr>
      <w:r>
        <w:t xml:space="preserve">•  Naveen Kohli v. Neelu Kohli, (2006) 4 SCC 558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https://firstprecedent.org/doctrines/irretrievable-breakdown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