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DC-0108 · Criminal</w:t>
      </w:r>
    </w:p>
    <w:p>
      <w:pPr>
        <w:pStyle w:val="Title"/>
      </w:pPr>
      <w:r>
        <w:t xml:space="preserve">Intoxication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drunkenness is a defence, the difference between voluntary and involuntary intoxication, and its bearing on intention.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85, 86 (now Bharatiya Nyaya Sanhita, 2023, §§ 23, 24)</w:t>
      </w:r>
    </w:p>
    <w:p>
      <w:pPr>
        <w:pStyle w:val="Bullet"/>
      </w:pPr>
      <w:r>
        <w:t xml:space="preserve">•  Basdev v. State of Pepsu, AIR 1956 SC 488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https://firstprecedent.org/doctrines/intoxication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