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DC-0030 · Corporate</w:t>
      </w:r>
    </w:p>
    <w:p>
      <w:pPr>
        <w:pStyle w:val="Title"/>
      </w:pPr>
      <w:r>
        <w:t xml:space="preserve">Indoor Management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An outsider dealing with a company may assume its internal procedures were followed; the exceptions for knowledge, suspicion and forgery.</w:t>
      </w:r>
    </w:p>
    <w:p>
      <w:pPr>
        <w:pStyle w:val="Guidance"/>
      </w:pPr>
      <w:r>
        <w:t xml:space="preserve">Authorities to start from. These are places to begin, listed by the editors. Read each one in the original and check the citation before you rely on it.</w:t>
      </w:r>
    </w:p>
    <w:p>
      <w:pPr>
        <w:pStyle w:val="Bullet"/>
      </w:pPr>
      <w:r>
        <w:t xml:space="preserve">•  Royal British Bank v. Turquand, (1856) 6 E&amp;B 327</w:t>
      </w:r>
    </w:p>
    <w:p>
      <w:pPr>
        <w:pStyle w:val="Bullet"/>
      </w:pPr>
      <w:r>
        <w:t xml:space="preserve">•  Lakshmi Ratan Cotton Mills Co. Ltd. v. J.K. Jute Mills Co. Ltd., AIR 1957 All 311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https://firstprecedent.org/doctrines/indoor-management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