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DC-0040 · International (Public)</w:t>
      </w:r>
    </w:p>
    <w:p>
      <w:pPr>
        <w:pStyle w:val="Title"/>
      </w:pPr>
      <w:r>
        <w:t xml:space="preserve">Incorporation of International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How treaty and custom enter Indian law: transformation for treaties, incorporation for custom, and consistent interpretation.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Gramophone Co. of India Ltd. v. Birendra Bahadur Pandey, (1984) 2 SCC 534</w:t>
      </w:r>
    </w:p>
    <w:p>
      <w:pPr>
        <w:pStyle w:val="Bullet"/>
      </w:pPr>
      <w:r>
        <w:t xml:space="preserve">•  Vishaka v. State of Rajasthan, (1997) 6 SCC 241</w:t>
      </w:r>
    </w:p>
    <w:p>
      <w:pPr>
        <w:pStyle w:val="Bullet"/>
      </w:pPr>
      <w:r>
        <w:t xml:space="preserve">•  India Const. arts. 51(c), 253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https://firstprecedent.org/doctrines/incorporation-of-international-law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