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DC-0082 · Constitutional</w:t>
      </w:r>
    </w:p>
    <w:p>
      <w:pPr>
        <w:pStyle w:val="Title"/>
      </w:pPr>
      <w:r>
        <w:t xml:space="preserve">Incidental and Ancillary Powers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legislative entry carries with it everything reasonably needed to make the power effective.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G. Chawla, AIR 1959 SC 544</w:t>
      </w:r>
    </w:p>
    <w:p>
      <w:pPr>
        <w:pStyle w:val="Bullet"/>
      </w:pPr>
      <w:r>
        <w:t xml:space="preserve">•  United Provinces v. Atiqa Begum, AIR 1941 FC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https://firstprecedent.org/doctrines/incidental-and-ancillary-powers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