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DC-0213 · Corporate</w:t>
      </w:r>
    </w:p>
    <w:p>
      <w:pPr>
        <w:pStyle w:val="Title"/>
      </w:pPr>
      <w:r>
        <w:t xml:space="preserve">Implied Authority of a Partner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power of a partner to bind the firm by acts done in the usual way of its business, and the acts that fall outside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Partnership Act, 1932, §§ 19, 22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https://firstprecedent.org/doctrines/implied-authority-of-a-partner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