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DC-0031 · Arbitration</w:t>
      </w:r>
    </w:p>
    <w:p>
      <w:pPr>
        <w:pStyle w:val="Title"/>
      </w:pPr>
      <w:r>
        <w:t xml:space="preserve">Group of Companies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Binding a non-signatory affiliate to an arbitration agreement on the strength of mutual intent shown by its conduct.</w:t>
      </w:r>
    </w:p>
    <w:p>
      <w:pPr>
        <w:pStyle w:val="Guidance"/>
      </w:pPr>
      <w:r>
        <w:t xml:space="preserve">Authorities to start from. These are places to begin, listed by the editors. Read each one in the original and check the citation before you rely on it.</w:t>
      </w:r>
    </w:p>
    <w:p>
      <w:pPr>
        <w:pStyle w:val="Bullet"/>
      </w:pPr>
      <w:r>
        <w:t xml:space="preserve">•  Chloro Controls India (P) Ltd. v. Severn Trent Water Purification Inc., (2013) 1 SCC 641</w:t>
      </w:r>
    </w:p>
    <w:p>
      <w:pPr>
        <w:pStyle w:val="Bullet"/>
      </w:pPr>
      <w:r>
        <w:t xml:space="preserve">•  Cox and Kings Ltd. v. SAP India (P) Ltd., (2024) 4 SCC 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https://firstprecedent.org/doctrines/group-of-companies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