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DC-0135 · Contract</w:t>
      </w:r>
    </w:p>
    <w:p>
      <w:pPr>
        <w:pStyle w:val="Title"/>
      </w:pPr>
      <w:r>
        <w:t xml:space="preserve">Fundamental Breach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breach going to the root of the contract, and whether an exclusion clause can protect the party who commits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B.V. Nagaraju v. Oriental Insurance Co. Ltd., (1996) 4 SCC 647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https://firstprecedent.org/doctrines/fundamental-breach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