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DC-0021 · Contract</w:t>
      </w:r>
    </w:p>
    <w:p>
      <w:pPr>
        <w:pStyle w:val="Title"/>
      </w:pPr>
      <w:r>
        <w:t xml:space="preserve">Frustration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Discharge of a contract by supervening impossibility under section 56: a rule of positive law, not an implied term.</w:t>
      </w:r>
    </w:p>
    <w:p>
      <w:pPr>
        <w:pStyle w:val="Guidance"/>
      </w:pPr>
      <w:r>
        <w:t xml:space="preserve">Authorities to start from. These are places to begin, listed by the editors. Read each one in the original and check the citation before you rely on it.</w:t>
      </w:r>
    </w:p>
    <w:p>
      <w:pPr>
        <w:pStyle w:val="Bullet"/>
      </w:pPr>
      <w:r>
        <w:t xml:space="preserve">•  Satyabrata Ghose v. Mugneeram Bangur &amp; Co., AIR 1954 SC 44</w:t>
      </w:r>
    </w:p>
    <w:p>
      <w:pPr>
        <w:pStyle w:val="Bullet"/>
      </w:pPr>
      <w:r>
        <w:t xml:space="preserve">•  Energy Watchdog v. CERC, (2017) 14 SCC 80</w:t>
      </w:r>
    </w:p>
    <w:p>
      <w:pPr>
        <w:pStyle w:val="Bullet"/>
      </w:pPr>
      <w:r>
        <w:t xml:space="preserve">•  Indian Contract Act, 1872, § 56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https://firstprecedent.org/doctrines/frustration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