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DC-0039 · Private International</w:t>
      </w:r>
    </w:p>
    <w:p>
      <w:pPr>
        <w:pStyle w:val="Title"/>
      </w:pPr>
      <w:r>
        <w:t xml:space="preserve">Forum Non Conveniens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Declining jurisdiction in favour of a more appropriate forum, and the Indian rules on anti-suit injunctions.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Modi Entertainment Network v. W.S.G. Cricket Pte. Ltd., (2003) 4 SCC 341</w:t>
      </w:r>
    </w:p>
    <w:p>
      <w:pPr>
        <w:pStyle w:val="Bullet"/>
      </w:pPr>
      <w:r>
        <w:t xml:space="preserve">•  Kusum Ingots &amp; Alloys Ltd. v. Union of India, (2004) 6 SCC 254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https://firstprecedent.org/doctrines/forum-non-conveniens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