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DC-0067 · Property</w:t>
      </w:r>
    </w:p>
    <w:p>
      <w:pPr>
        <w:pStyle w:val="Title"/>
      </w:pPr>
      <w:r>
        <w:t xml:space="preserve">Feeding the Grant by Estoppel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person who sells what he does not own must make good the sale when he later acquires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43</w:t>
      </w:r>
    </w:p>
    <w:p>
      <w:pPr>
        <w:pStyle w:val="Bullet"/>
      </w:pPr>
      <w:r>
        <w:t xml:space="preserve">•  Jumma Masjid, Mercara v. Kodimaniandra Deviah, AIR 1962 SC 847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https://firstprecedent.org/doctrines/feeding-the-grant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