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DC-0119 · Evidence</w:t>
      </w:r>
    </w:p>
    <w:p>
      <w:pPr>
        <w:pStyle w:val="Title"/>
      </w:pPr>
      <w:r>
        <w:t xml:space="preserve">Facts Especially within Knowledge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placing on a person the burden of proving a fact especially within their knowledge, and why it does not relieve the prosecution.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106 (now Bharatiya Sakshya Adhiniyam, 2023, § 109)</w:t>
      </w:r>
    </w:p>
    <w:p>
      <w:pPr>
        <w:pStyle w:val="Bullet"/>
      </w:pPr>
      <w:r>
        <w:t xml:space="preserve">•  Shambu Nath Mehra v. State of Ajmer, AIR 1956 SC 404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https://firstprecedent.org/doctrines/facts-especially-within-knowledge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