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DC-0044 · IP</w:t>
      </w:r>
    </w:p>
    <w:p>
      <w:pPr>
        <w:pStyle w:val="Title"/>
      </w:pPr>
      <w:r>
        <w:t xml:space="preserve">Exhaustion of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right-holder’s control ends on first sale anywhere in the world: parallel imports under the trade mark and patent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30(3)–(4)</w:t>
      </w:r>
    </w:p>
    <w:p>
      <w:pPr>
        <w:pStyle w:val="Bullet"/>
      </w:pPr>
      <w:r>
        <w:t xml:space="preserve">•  Kapil Wadhwa v. Samsung Electronics Co. Ltd., 2012 SCC OnLine Del 5172</w:t>
      </w:r>
    </w:p>
    <w:p>
      <w:pPr>
        <w:pStyle w:val="Bullet"/>
      </w:pPr>
      <w:r>
        <w:t xml:space="preserve">•  Patents Act, 1970, § 107A(b)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https://firstprecedent.org/doctrines/exhaustion-of-rights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