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DC-0094 · Constitutional</w:t>
      </w:r>
    </w:p>
    <w:p>
      <w:pPr>
        <w:pStyle w:val="Title"/>
      </w:pPr>
      <w:r>
        <w:t xml:space="preserve">Executive Power without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far the executive may act on a subject without a law, and the point at which a statute becomes necessary.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73, 162</w:t>
      </w:r>
    </w:p>
    <w:p>
      <w:pPr>
        <w:pStyle w:val="Bullet"/>
      </w:pPr>
      <w:r>
        <w:t xml:space="preserve">•  Ram Jawaya Kapur v. State of Punjab, AIR 1955 SC 549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https://firstprecedent.org/doctrines/executive-power-without-legislation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