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DC-0013 · Administrative</w:t>
      </w:r>
    </w:p>
    <w:p>
      <w:pPr>
        <w:pStyle w:val="Title"/>
      </w:pPr>
      <w:r>
        <w:t xml:space="preserve">Excessive Delegation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legislature may delegate detail but not essential legislative function; the search for policy and guidance in the parent Act.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 re Delhi Laws Act, 1912, AIR 1951 SC 332</w:t>
      </w:r>
    </w:p>
    <w:p>
      <w:pPr>
        <w:pStyle w:val="Bullet"/>
      </w:pPr>
      <w:r>
        <w:t xml:space="preserve">•  Hamdard Dawakhana v. Union of India, AIR 1960 SC 554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https://firstprecedent.org/doctrines/excessive-delegation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