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DC-0010 · Constitutional</w:t>
      </w:r>
    </w:p>
    <w:p>
      <w:pPr>
        <w:pStyle w:val="Title"/>
      </w:pPr>
      <w:r>
        <w:t xml:space="preserve">Essential Religious Practices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test that decides which religious practices Article 25 protects, how courts came to decide questions of theology, and the criticism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Hindu Religious Endowments v. Sri Lakshmindra Thirtha Swamiar of Sri Shirur Mutt, AIR 1954 SC 282</w:t>
      </w:r>
    </w:p>
    <w:p>
      <w:pPr>
        <w:pStyle w:val="Bullet"/>
      </w:pPr>
      <w:r>
        <w:t xml:space="preserve">•  Durgah Committee, Ajmer v. Syed Hussain Ali, AIR 1961 SC 1402</w:t>
      </w:r>
    </w:p>
    <w:p>
      <w:pPr>
        <w:pStyle w:val="Bullet"/>
      </w:pPr>
      <w:r>
        <w:t xml:space="preserve">•  Indian Young Lawyers Assn. v. State of Kerala, (2019) 11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https://firstprecedent.org/doctrines/essential-religious-practices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