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DC-0155 · Property</w:t>
      </w:r>
    </w:p>
    <w:p>
      <w:pPr>
        <w:pStyle w:val="Title"/>
      </w:pPr>
      <w:r>
        <w:t xml:space="preserve">Escheat and Bona Vacantia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passing of property to the State when an owner dies without heirs or property is left ownerless.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296</w:t>
      </w:r>
    </w:p>
    <w:p>
      <w:pPr>
        <w:pStyle w:val="Bullet"/>
      </w:pPr>
      <w:r>
        <w:t xml:space="preserve">•  Hindu Succession Act, 1956, § 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https://firstprecedent.org/doctrines/escheat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