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DC-0089 · Constitutional</w:t>
      </w:r>
    </w:p>
    <w:p>
      <w:pPr>
        <w:pStyle w:val="Title"/>
      </w:pPr>
      <w:r>
        <w:t xml:space="preserve">Epistolary Jurisdiction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practice of treating a letter or postcard to the court as a writ petition, and the safeguards later placed around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S.P. Gupta v. Union of India, 1981 Supp SCC 87</w:t>
      </w:r>
    </w:p>
    <w:p>
      <w:pPr>
        <w:pStyle w:val="Bullet"/>
      </w:pPr>
      <w:r>
        <w:t xml:space="preserve">•  Bandhua Mukti Morcha v. Union of India, (1984) 3 SCC 161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https://firstprecedent.org/doctrines/epistolary-jurisdiction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